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ДОГОВОР СТРОИТЕЛЬНОГО ПОДРЯДА</w:t>
      </w:r>
    </w:p>
    <w:p w:rsidR="00000000" w:rsidDel="00000000" w:rsidP="00000000" w:rsidRDefault="00000000" w:rsidRPr="00000000" w14:paraId="00000002">
      <w:pPr>
        <w:shd w:fill="ffffff" w:val="clear"/>
        <w:tabs>
          <w:tab w:val="left" w:pos="6946"/>
        </w:tabs>
        <w:spacing w:after="0" w:line="240" w:lineRule="auto"/>
        <w:jc w:val="both"/>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г. Москва </w:t>
        <w:tab/>
        <w:t xml:space="preserve">«» ______ 2019 г.</w:t>
      </w:r>
    </w:p>
    <w:p w:rsidR="00000000" w:rsidDel="00000000" w:rsidP="00000000" w:rsidRDefault="00000000" w:rsidRPr="00000000" w14:paraId="00000003">
      <w:pPr>
        <w:spacing w:after="0" w:line="240" w:lineRule="auto"/>
        <w:jc w:val="both"/>
        <w:rPr>
          <w:rFonts w:ascii="Times New Roman" w:cs="Times New Roman" w:eastAsia="Times New Roman" w:hAnsi="Times New Roman"/>
          <w:color w:val="000000"/>
          <w:sz w:val="20"/>
          <w:szCs w:val="20"/>
          <w:highlight w:val="white"/>
        </w:rPr>
      </w:pPr>
      <w:r w:rsidDel="00000000" w:rsidR="00000000" w:rsidRPr="00000000">
        <w:rPr>
          <w:rtl w:val="0"/>
        </w:rPr>
      </w:r>
    </w:p>
    <w:p w:rsidR="00000000" w:rsidDel="00000000" w:rsidP="00000000" w:rsidRDefault="00000000" w:rsidRPr="00000000" w14:paraId="00000004">
      <w:pPr>
        <w:spacing w:after="0" w:line="240" w:lineRule="auto"/>
        <w:ind w:firstLine="851"/>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ООО ГРУППА "ПГС", в лице генерального директора Минеева Юрия Анатольевича, действующего на основании Устава, именуемый в дальнейшем «</w:t>
      </w:r>
      <w:r w:rsidDel="00000000" w:rsidR="00000000" w:rsidRPr="00000000">
        <w:rPr>
          <w:rFonts w:ascii="Times New Roman" w:cs="Times New Roman" w:eastAsia="Times New Roman" w:hAnsi="Times New Roman"/>
          <w:b w:val="1"/>
          <w:color w:val="000000"/>
          <w:sz w:val="20"/>
          <w:szCs w:val="20"/>
          <w:highlight w:val="white"/>
          <w:rtl w:val="0"/>
        </w:rPr>
        <w:t xml:space="preserve">Подрядчик</w:t>
      </w:r>
      <w:r w:rsidDel="00000000" w:rsidR="00000000" w:rsidRPr="00000000">
        <w:rPr>
          <w:rFonts w:ascii="Times New Roman" w:cs="Times New Roman" w:eastAsia="Times New Roman" w:hAnsi="Times New Roman"/>
          <w:color w:val="000000"/>
          <w:sz w:val="20"/>
          <w:szCs w:val="20"/>
          <w:highlight w:val="white"/>
          <w:rtl w:val="0"/>
        </w:rPr>
        <w:t xml:space="preserve">», с одной стороны, и  , именуемый в дальнейшем «</w:t>
      </w:r>
      <w:r w:rsidDel="00000000" w:rsidR="00000000" w:rsidRPr="00000000">
        <w:rPr>
          <w:rFonts w:ascii="Times New Roman" w:cs="Times New Roman" w:eastAsia="Times New Roman" w:hAnsi="Times New Roman"/>
          <w:b w:val="1"/>
          <w:color w:val="000000"/>
          <w:sz w:val="20"/>
          <w:szCs w:val="20"/>
          <w:highlight w:val="white"/>
          <w:rtl w:val="0"/>
        </w:rPr>
        <w:t xml:space="preserve">Заказчик</w:t>
      </w:r>
      <w:r w:rsidDel="00000000" w:rsidR="00000000" w:rsidRPr="00000000">
        <w:rPr>
          <w:rFonts w:ascii="Times New Roman" w:cs="Times New Roman" w:eastAsia="Times New Roman" w:hAnsi="Times New Roman"/>
          <w:color w:val="000000"/>
          <w:sz w:val="20"/>
          <w:szCs w:val="20"/>
          <w:highlight w:val="white"/>
          <w:rtl w:val="0"/>
        </w:rPr>
        <w:t xml:space="preserve">», с другой стороны, именуемые в дальнейшем «Стороны», заключили настоящий договор, в дальнейшем «</w:t>
      </w:r>
      <w:r w:rsidDel="00000000" w:rsidR="00000000" w:rsidRPr="00000000">
        <w:rPr>
          <w:rFonts w:ascii="Times New Roman" w:cs="Times New Roman" w:eastAsia="Times New Roman" w:hAnsi="Times New Roman"/>
          <w:b w:val="1"/>
          <w:color w:val="000000"/>
          <w:sz w:val="20"/>
          <w:szCs w:val="20"/>
          <w:highlight w:val="white"/>
          <w:rtl w:val="0"/>
        </w:rPr>
        <w:t xml:space="preserve">Договор</w:t>
      </w:r>
      <w:r w:rsidDel="00000000" w:rsidR="00000000" w:rsidRPr="00000000">
        <w:rPr>
          <w:rFonts w:ascii="Times New Roman" w:cs="Times New Roman" w:eastAsia="Times New Roman" w:hAnsi="Times New Roman"/>
          <w:color w:val="000000"/>
          <w:sz w:val="20"/>
          <w:szCs w:val="20"/>
          <w:highlight w:val="white"/>
          <w:rtl w:val="0"/>
        </w:rPr>
        <w:t xml:space="preserve">», о нижеследующем:</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ПРЕДМЕТ ДОГОВОРА</w:t>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Согласно настоящему договору Подрядчик обязуется построить , именуемый в дальнейшем «Объект», в соответствии с Техническим заданием (Приложение №) и Сметой (Приложение №), а Заказчик обязуется создать Подрядчику необходимые для выполнения работ условия, принять их результат и уплатить обусловленную цену.</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Техническое задание состоит из следующей технической документации: .</w:t>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 Оплата выполненных работ производится в размере, предусмотренном Сметой, в следующем порядке и в следующие сроки: .</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 Срок действия договора: Начало работ: «»2019 года. Окончание работ: «»2019 года.</w:t>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ПРАВА И ОБЯЗАННОСТИ СТОРОН</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 Подрядчик обязуется:</w:t>
      </w:r>
    </w:p>
    <w:p w:rsidR="00000000" w:rsidDel="00000000" w:rsidP="00000000" w:rsidRDefault="00000000" w:rsidRPr="00000000" w14:paraId="0000000D">
      <w:pPr>
        <w:numPr>
          <w:ilvl w:val="0"/>
          <w:numId w:val="1"/>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осуществлять строительство и связанные с ним работы в соответствии с Техническим заданием и Сметой;</w:t>
      </w:r>
    </w:p>
    <w:p w:rsidR="00000000" w:rsidDel="00000000" w:rsidP="00000000" w:rsidRDefault="00000000" w:rsidRPr="00000000" w14:paraId="0000000E">
      <w:pPr>
        <w:numPr>
          <w:ilvl w:val="0"/>
          <w:numId w:val="1"/>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сообщать Заказчику о необходимости проведения дополнительных работ и увеличения сметной стоимости строительства;</w:t>
      </w:r>
    </w:p>
    <w:p w:rsidR="00000000" w:rsidDel="00000000" w:rsidP="00000000" w:rsidRDefault="00000000" w:rsidRPr="00000000" w14:paraId="0000000F">
      <w:pPr>
        <w:numPr>
          <w:ilvl w:val="0"/>
          <w:numId w:val="1"/>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приостановить соответствующие работы с отнесением убытков, вызванных простоем, на счет Заказчика при неполучении от Заказчика ответа на свое сообщение о дополнительных работах и увеличении сметной стоимости в течение десяти дней;</w:t>
      </w:r>
    </w:p>
    <w:p w:rsidR="00000000" w:rsidDel="00000000" w:rsidP="00000000" w:rsidRDefault="00000000" w:rsidRPr="00000000" w14:paraId="00000010">
      <w:pPr>
        <w:numPr>
          <w:ilvl w:val="0"/>
          <w:numId w:val="1"/>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обеспечить строительство материалами, в том числе деталями, конструкциями, или оборудованием;</w:t>
      </w:r>
    </w:p>
    <w:p w:rsidR="00000000" w:rsidDel="00000000" w:rsidP="00000000" w:rsidRDefault="00000000" w:rsidRPr="00000000" w14:paraId="00000011">
      <w:pPr>
        <w:numPr>
          <w:ilvl w:val="0"/>
          <w:numId w:val="1"/>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000000" w:rsidDel="00000000" w:rsidP="00000000" w:rsidRDefault="00000000" w:rsidRPr="00000000" w14:paraId="00000012">
      <w:pPr>
        <w:numPr>
          <w:ilvl w:val="0"/>
          <w:numId w:val="1"/>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соблюдать требования закона и иных правовых актов об охране окружающей среды и о безопасности строительных работ.</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 Подрядчик вправе:</w:t>
      </w:r>
    </w:p>
    <w:p w:rsidR="00000000" w:rsidDel="00000000" w:rsidP="00000000" w:rsidRDefault="00000000" w:rsidRPr="00000000" w14:paraId="00000014">
      <w:pPr>
        <w:numPr>
          <w:ilvl w:val="0"/>
          <w:numId w:val="2"/>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требовать в соответствии со ст.450 ГК пересмотра Сметы, если по не зависящим от него причинам стоимость работ превысила Смету не менее чем на %;</w:t>
      </w:r>
    </w:p>
    <w:p w:rsidR="00000000" w:rsidDel="00000000" w:rsidP="00000000" w:rsidRDefault="00000000" w:rsidRPr="00000000" w14:paraId="00000015">
      <w:pPr>
        <w:numPr>
          <w:ilvl w:val="0"/>
          <w:numId w:val="2"/>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требовать возмещения разумных расходов, которые понесены им в связи с установлением и устранением дефектов в технической документации.</w:t>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 Заказчик обязуется:</w:t>
      </w:r>
    </w:p>
    <w:p w:rsidR="00000000" w:rsidDel="00000000" w:rsidP="00000000" w:rsidRDefault="00000000" w:rsidRPr="00000000" w14:paraId="00000017">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своевременно предоставить для строительства земельный участок (площадь и состояние предоставляемого земельного участка должны обеспечивать своевременное начало работ, нормальное их ведение и завершение в срок);</w:t>
      </w:r>
    </w:p>
    <w:p w:rsidR="00000000" w:rsidDel="00000000" w:rsidP="00000000" w:rsidRDefault="00000000" w:rsidRPr="00000000" w14:paraId="00000018">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t>
      </w:r>
    </w:p>
    <w:p w:rsidR="00000000" w:rsidDel="00000000" w:rsidP="00000000" w:rsidRDefault="00000000" w:rsidRPr="00000000" w14:paraId="00000019">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оплата предоставленных Заказчиком услуг, указанных в предыдущем подпункте настоящего пункта, осуществляется на следующих условиях: ;</w:t>
      </w:r>
    </w:p>
    <w:p w:rsidR="00000000" w:rsidDel="00000000" w:rsidP="00000000" w:rsidRDefault="00000000" w:rsidRPr="00000000" w14:paraId="0000001A">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 Заказчик вправе:</w:t>
      </w:r>
    </w:p>
    <w:p w:rsidR="00000000" w:rsidDel="00000000" w:rsidP="00000000" w:rsidRDefault="00000000" w:rsidRPr="00000000" w14:paraId="0000001C">
      <w:pPr>
        <w:numPr>
          <w:ilvl w:val="0"/>
          <w:numId w:val="4"/>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вносить изменения в техническую документацию при условии, если вызываемая этим дополнительная работа по стоимости не превышает десяти процентов указанной в Смете общей стоимости строительства и не меняет характера предусмотренных настоящим договором работ;</w:t>
      </w:r>
    </w:p>
    <w:p w:rsidR="00000000" w:rsidDel="00000000" w:rsidP="00000000" w:rsidRDefault="00000000" w:rsidRPr="00000000" w14:paraId="0000001D">
      <w:pPr>
        <w:numPr>
          <w:ilvl w:val="0"/>
          <w:numId w:val="4"/>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w:t>
      </w:r>
    </w:p>
    <w:p w:rsidR="00000000" w:rsidDel="00000000" w:rsidP="00000000" w:rsidRDefault="00000000" w:rsidRPr="00000000" w14:paraId="0000001E">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СДАЧА И ПРИЕМКА РАБОТ</w:t>
      </w:r>
    </w:p>
    <w:p w:rsidR="00000000" w:rsidDel="00000000" w:rsidP="00000000" w:rsidRDefault="00000000" w:rsidRPr="00000000" w14:paraId="00000020">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 Заказчик, получивший сообщение Подрядчика о готовности к сдаче результата выполненных по настоящему договору работ, обязан немедленно приступить к их приемке.</w:t>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 Заказчик организует и осуществляет приемку результата работ за свой счет.</w:t>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3.3. Сдача результата работ Подрядчиком и их приемка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договоре цели и не могут быть устранены Подрядчиком или Заказчиком.</w:t>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ЗАКЛЮЧИТЕЛЬНЫЕ ПОЛОЖЕНИЯ</w:t>
      </w:r>
    </w:p>
    <w:p w:rsidR="00000000" w:rsidDel="00000000" w:rsidP="00000000" w:rsidRDefault="00000000" w:rsidRPr="00000000" w14:paraId="00000026">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4.1. Если при строительстве и выполнении связанных с ним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00000" w:rsidDel="00000000" w:rsidP="00000000" w:rsidRDefault="00000000" w:rsidRPr="00000000" w14:paraId="00000027">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4.2. Подрядчик гарантирует достижение объектом строительства указанных в технической документации показателей и возможность эксплуатации объекта на протяжении следующего гарантийного срока: .</w:t>
      </w:r>
    </w:p>
    <w:p w:rsidR="00000000" w:rsidDel="00000000" w:rsidP="00000000" w:rsidRDefault="00000000" w:rsidRPr="00000000" w14:paraId="00000028">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4.3. Во всем ином, не урегулированном в настоящем договоре, Стороны будут руководствоваться нормами действующего гражданского законодательства России.</w:t>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4.4. Договор составлен в  двух экземплярах.</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1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4635"/>
        <w:tblGridChange w:id="0">
          <w:tblGrid>
            <w:gridCol w:w="4515"/>
            <w:gridCol w:w="4635"/>
          </w:tblGrid>
        </w:tblGridChange>
      </w:tblGrid>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 w:firstLine="3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w:t>
            </w:r>
          </w:p>
          <w:p w:rsidR="00000000" w:rsidDel="00000000" w:rsidP="00000000" w:rsidRDefault="00000000" w:rsidRPr="00000000" w14:paraId="0000002C">
            <w:pPr>
              <w:spacing w:after="0" w:line="240" w:lineRule="auto"/>
              <w:ind w:right="38"/>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 w:firstLine="33"/>
              <w:jc w:val="center"/>
              <w:rPr>
                <w:rFonts w:ascii="Times New Roman" w:cs="Times New Roman" w:eastAsia="Times New Roman" w:hAnsi="Times New Roman"/>
                <w:b w:val="1"/>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Подрядчик</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 w:firstLine="3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ООО ГРУППА "ПГС"</w:t>
            </w:r>
          </w:p>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  </w:t>
            </w:r>
            <w:r w:rsidDel="00000000" w:rsidR="00000000" w:rsidRPr="00000000">
              <w:rPr>
                <w:rFonts w:ascii="Times New Roman" w:cs="Times New Roman" w:eastAsia="Times New Roman" w:hAnsi="Times New Roman"/>
                <w:sz w:val="20"/>
                <w:szCs w:val="20"/>
                <w:highlight w:val="white"/>
                <w:rtl w:val="0"/>
              </w:rPr>
              <w:t xml:space="preserve">9717076715 </w:t>
            </w:r>
            <w:r w:rsidDel="00000000" w:rsidR="00000000" w:rsidRPr="00000000">
              <w:rPr>
                <w:rFonts w:ascii="Times New Roman" w:cs="Times New Roman" w:eastAsia="Times New Roman" w:hAnsi="Times New Roman"/>
                <w:sz w:val="20"/>
                <w:szCs w:val="20"/>
                <w:rtl w:val="0"/>
              </w:rPr>
              <w:t xml:space="preserve">КПП: 971701001</w:t>
            </w:r>
          </w:p>
          <w:p w:rsidR="00000000" w:rsidDel="00000000" w:rsidP="00000000" w:rsidRDefault="00000000" w:rsidRPr="00000000" w14:paraId="00000032">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Адрес: </w:t>
            </w:r>
            <w:r w:rsidDel="00000000" w:rsidR="00000000" w:rsidRPr="00000000">
              <w:rPr>
                <w:rFonts w:ascii="Times New Roman" w:cs="Times New Roman" w:eastAsia="Times New Roman" w:hAnsi="Times New Roman"/>
                <w:sz w:val="20"/>
                <w:szCs w:val="20"/>
                <w:highlight w:val="white"/>
                <w:rtl w:val="0"/>
              </w:rPr>
              <w:t xml:space="preserve">129085, г. Москва, Пропект Мира, д. 101, стр. 1, оф. 57</w:t>
            </w:r>
          </w:p>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Расчетный счет № 40702810801100017375 в АО "АЛЬФА-БАНК" ИНН 7728168971 ОГРН 1027700067328 БИК 044525593 Корр. счет: 30101810200000000593 в ГУ БАНКА РОССИИ ПО ЦФО</w:t>
            </w:r>
          </w:p>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Телефон: +7 (985)154-51-15</w:t>
            </w:r>
          </w:p>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tc>
      </w:tr>
      <w:tr>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 w:firstLine="3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9" w:firstLine="3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99"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99" w:hanging="283"/>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Генеральный директор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Минеев Ю.А.</w:t>
            </w:r>
            <w:r w:rsidDel="00000000" w:rsidR="00000000" w:rsidRPr="00000000">
              <w:rPr>
                <w:rtl w:val="0"/>
              </w:rPr>
            </w:r>
          </w:p>
        </w:tc>
      </w:tr>
    </w:tbl>
    <w:p w:rsidR="00000000" w:rsidDel="00000000" w:rsidP="00000000" w:rsidRDefault="00000000" w:rsidRPr="00000000" w14:paraId="0000003A">
      <w:pPr>
        <w:spacing w:after="0" w:line="240" w:lineRule="auto"/>
        <w:jc w:val="both"/>
        <w:rPr>
          <w:rFonts w:ascii="Times New Roman" w:cs="Times New Roman" w:eastAsia="Times New Roman" w:hAnsi="Times New Roman"/>
          <w:sz w:val="20"/>
          <w:szCs w:val="20"/>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